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D9D0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DIFICULDADES DE APRENDIZAGEM NA ESCOLA: DISLEXIA</w:t>
      </w:r>
    </w:p>
    <w:p w14:paraId="7C22C62B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Rayane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Freitas Lopes,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Gabriella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Gomes Ferreira,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Helenice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Serikaku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Káriston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Eger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Santos</w:t>
      </w:r>
    </w:p>
    <w:p w14:paraId="5D195602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 Ciência e Tecnologia do Mato Grosso do Sul – Campus Ponta Porã-MS</w:t>
      </w:r>
    </w:p>
    <w:p w14:paraId="30056444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rayyfreitass@gmail.com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gabiferreira13072003@gmail.com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2C67CD"/>
            <w:sz w:val="20"/>
            <w:szCs w:val="20"/>
            <w:highlight w:val="white"/>
            <w:u w:val="single"/>
          </w:rPr>
          <w:t>helenice.serikaku@ifms.edu.br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</w:t>
      </w:r>
      <w:hyperlink r:id="rId9">
        <w:r>
          <w:rPr>
            <w:rFonts w:ascii="Times New Roman" w:eastAsia="Times New Roman" w:hAnsi="Times New Roman" w:cs="Times New Roman"/>
            <w:color w:val="2C67CD"/>
            <w:sz w:val="20"/>
            <w:szCs w:val="20"/>
            <w:highlight w:val="white"/>
            <w:u w:val="single"/>
          </w:rPr>
          <w:t>kariston.santos@ifms.edu.br</w:t>
        </w:r>
      </w:hyperlink>
    </w:p>
    <w:p w14:paraId="59E460DD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CHSAL - Ciências Humanas; Sociais Aplicadas e Linguística e Artes: Educação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Tipo de Pes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quisa: Científica </w:t>
      </w:r>
    </w:p>
    <w:p w14:paraId="2964E829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sectPr w:rsidR="00FC3751">
          <w:headerReference w:type="default" r:id="rId10"/>
          <w:footerReference w:type="default" r:id="rId11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Dislexia, Desenvolvimento </w:t>
      </w:r>
      <w:r>
        <w:rPr>
          <w:rFonts w:ascii="Times New Roman" w:eastAsia="Times New Roman" w:hAnsi="Times New Roman" w:cs="Times New Roman"/>
          <w:sz w:val="20"/>
          <w:szCs w:val="20"/>
        </w:rPr>
        <w:t>escolar,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Jogos educativos</w:t>
      </w:r>
    </w:p>
    <w:p w14:paraId="1F2B39A0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584E6299" w14:textId="53AD8286" w:rsidR="00FC3751" w:rsidRDefault="00EF3F78">
      <w:pPr>
        <w:spacing w:after="12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Segundo os estudos da Associação Nacional de Dislexia (2002) “A Dislexia do desenvolvimento é considerada um transtorno específico de aprendizagem de origem neurobiológica, caracterizada por dificuldade no reconhecimento preciso e/ou fluente da palavra, na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 habilidade de decodificação e em soletração”. Acredita-se que alguns sinais já podem ser percebidos inicialmente na pré-escola, como: dispersão, fraco desenvolvimento da atenção, atraso do desenvolvimento da fala e da linguagem, fraco desenvolvimento da c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oordenação motora, falta de interesse por livros impressos.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Ciasca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 e Rodrigues (2016) ressaltam que “a sensação que se tem é que ainda há dificuldade em se lidar adequadamente com esse transtorno, principalmente no contexto escolar. Como consequência, não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é incomum termos de um lado o professor, que se sente frustrado e impotente por não saber lidar adequadamente com essa problemática, e, de outro, o aluno, que vivencia o constante sentimento de fracasso no curso do seu desenvolvimento. Várias são as explic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ações para tal realidade, porém chama-se a atenção para o desconhecimento sobre o transtorno e a ideia errônea de que a intervenção na dislexia é objeto apenas daqueles que atuam na clínica”. Diante disso, a dislexia traz sofrimento a muitos alunos, os qua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is não sabem que sofrem com esse problema e acabam sendo prejudicados, com baixo desenvolvimento escolar, dificuldades em fazer amizades, o que pode agravar ainda mais o emocional, e os pode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tornar crianças, agitadas, estressadas e violentas. </w:t>
      </w:r>
    </w:p>
    <w:p w14:paraId="52297F9E" w14:textId="77777777" w:rsidR="00FC3751" w:rsidRDefault="00EF3F78">
      <w:pPr>
        <w:spacing w:after="12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Perante ess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a problemática, este trabalho tem como objetivo elaborar jogos interativos para a criança disléxica desenvolver a escrita (estimulando a alfabetização e a atenção), desenho (para o desenvolvimento da coordenação motora) e leitura (para o maior avanço no de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senvolvimento da fala e da linguagem).</w:t>
      </w:r>
    </w:p>
    <w:p w14:paraId="1D11A9CA" w14:textId="06FEFFC8" w:rsidR="00FC3751" w:rsidRDefault="00EF3F78">
      <w:pPr>
        <w:spacing w:after="12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Para a elaboração desta pesquisa, além da leitura artigos científicos relacionados à educação inclusiva dos disléxicos, será utilizada a análise documental de atividades desenvolvidas por uma criança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de </w:t>
      </w:r>
      <w:r w:rsidR="00CE66D7"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nove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 anos, que e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stá cursando o 5º ano de uma escola pública da cidade de Ponta Porã/MS, ela foi diagnosticada com dislexia. A Análise Documental, conforme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Lüdke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 e André (1986, p. 38), “pode se constituir numa técnica valiosa de abordagem de dados qualitativos, seja comple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tando as informações obtidas por outras técnicas, seja desvelando aspectos novos de um tema ou problema”. Após a leitura do referencial teórico e da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análise documental empreendida, finalmente, serão propostos os jogos.  </w:t>
      </w:r>
    </w:p>
    <w:p w14:paraId="7FA73CD9" w14:textId="77777777" w:rsidR="00CE66D7" w:rsidRDefault="00CE66D7">
      <w:pPr>
        <w:spacing w:after="12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</w:p>
    <w:p w14:paraId="49AB789C" w14:textId="7C93F867" w:rsidR="00FC3751" w:rsidRDefault="00EF3F78" w:rsidP="00CE66D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523EC46C" w14:textId="35EDC983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primeiro passo é a realização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 estudo bibliográfico feitos principalmente em artigos </w:t>
      </w:r>
      <w:r>
        <w:rPr>
          <w:rFonts w:ascii="Times New Roman" w:eastAsia="Times New Roman" w:hAnsi="Times New Roman" w:cs="Times New Roman"/>
          <w:sz w:val="20"/>
          <w:szCs w:val="20"/>
        </w:rPr>
        <w:t>científicos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obre dislexia e educação inclusiva</w:t>
      </w:r>
      <w:r>
        <w:rPr>
          <w:rFonts w:ascii="Times New Roman" w:eastAsia="Times New Roman" w:hAnsi="Times New Roman" w:cs="Times New Roman"/>
          <w:sz w:val="20"/>
          <w:szCs w:val="20"/>
        </w:rPr>
        <w:t>, e</w:t>
      </w:r>
      <w:r w:rsidR="00CE66D7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também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leis que embasam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 compromisso público de reconhecer e atender as necessidades educacionais do indivíduo, permitindo-lhes oportunidades de acesso à aprendizagem, ao desenvolvimento de habilidades comprometidas devido ao problema, independentemente de sua condição diagnóst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ica, seu credo, sua origem, sua etnia etc.</w:t>
      </w:r>
    </w:p>
    <w:p w14:paraId="4D025593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segundo passo é empreender uma </w:t>
      </w:r>
      <w:r>
        <w:rPr>
          <w:rFonts w:ascii="Times New Roman" w:eastAsia="Times New Roman" w:hAnsi="Times New Roman" w:cs="Times New Roman"/>
          <w:sz w:val="20"/>
          <w:szCs w:val="20"/>
        </w:rPr>
        <w:t>análise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documental das atividades desenvolvidas por uma criança de nove anos diagnosticada com dislexia, para ser utilizad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forma de complemento ao desenvolvimento do estudo. </w:t>
      </w:r>
      <w:r>
        <w:rPr>
          <w:rFonts w:ascii="Times New Roman" w:eastAsia="Times New Roman" w:hAnsi="Times New Roman" w:cs="Times New Roman"/>
          <w:sz w:val="20"/>
          <w:szCs w:val="20"/>
        </w:rPr>
        <w:t>E por fim, relacionando as características da dislexia com o resultado da análise documental, o terceiro passo é propor atividades interativas através de jogos educativos para a estimulação da escrita, leitura e coordenação motora.</w:t>
      </w:r>
    </w:p>
    <w:p w14:paraId="6D99C948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114300" distR="114300" wp14:anchorId="08451041" wp14:editId="5C8D394C">
            <wp:extent cx="2856230" cy="1588135"/>
            <wp:effectExtent l="0" t="0" r="0" b="0"/>
            <wp:docPr id="1" name="image4.png" descr="O desafio de despertar o ser social no adolescente com Dislexia | by Youth  for Human Rights Brasil Redação | Me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 desafio de despertar o ser social no adolescente com Dislexia | by Youth  for Human Rights Brasil Redação | Medium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588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BCA0A" w14:textId="4DD63C94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Figura 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Dislexia dificulta identificação de palavras.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(Em: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https://www.lecionas.com.br/blog/metodo-para-preparar-provas-para-estudantes-com-dislexia/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</w:t>
      </w:r>
      <w:r>
        <w:rPr>
          <w:rFonts w:ascii="Times New Roman" w:eastAsia="Times New Roman" w:hAnsi="Times New Roman" w:cs="Times New Roman"/>
          <w:sz w:val="20"/>
          <w:szCs w:val="20"/>
        </w:rPr>
        <w:t>esso em: 06 de set. de 2021)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EDEDB66" w14:textId="77777777" w:rsidR="00CE66D7" w:rsidRDefault="00CE66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</w:p>
    <w:p w14:paraId="0812B748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510DE9DF" w14:textId="7E586992" w:rsidR="00FC3751" w:rsidRDefault="00EF3F78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Espera-se que com esse trabalho possamos ampliar ainda mais o nosso conhecimento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entender um pouco mais sobre a dislexia e compreender as suas causas,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que possamos ter maior proximidade com o universo dos alunos com dislexia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através dos embasamentos dos autores, leis constitucionais 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análise documental do aluno, também é esperado que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ogos educativos </w:t>
      </w:r>
      <w:r w:rsidR="00CE66D7">
        <w:rPr>
          <w:rFonts w:ascii="Times New Roman" w:eastAsia="Times New Roman" w:hAnsi="Times New Roman" w:cs="Times New Roman"/>
          <w:color w:val="333333"/>
          <w:sz w:val="20"/>
          <w:szCs w:val="20"/>
        </w:rPr>
        <w:t>propostos possam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ser eficientes 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ajudar o aluno com dislexia,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trazendo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maior facilidade no seu desenvolvimento escolar.</w:t>
      </w:r>
    </w:p>
    <w:p w14:paraId="1DD1EA01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114300" distR="114300" wp14:anchorId="30DBEE7A" wp14:editId="00589E4F">
            <wp:extent cx="2856230" cy="2141855"/>
            <wp:effectExtent l="0" t="0" r="0" b="0"/>
            <wp:docPr id="2" name="image3.jpg" descr="Como interagir com o disléxico em sala de aula – ABD | Associação  Brasileira de Dislex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omo interagir com o disléxico em sala de aula – ABD | Associação  Brasileira de Dislexia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14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0AE19C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Figura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Como interagir com o disléxico em sala de aula.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(Em: ASSOCIAÇÃO BRASILEIRA DE DISLEXIA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Disponível em: </w:t>
      </w:r>
      <w:hyperlink r:id="rId15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https://www.dislexia.org.br/o-que-e-dislexia/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em: 06 de set. de 2021)</w:t>
      </w:r>
    </w:p>
    <w:p w14:paraId="517DEED2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3FBD43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134C9E6A" w14:textId="77777777" w:rsidR="00FC3751" w:rsidRDefault="00EF3F78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 esse trabalho busca-se compreender o universo dos alunos com dislexia e através dos jogos manuais, auxiliar no desenvolvimento do aluno, considerando qu</w:t>
      </w:r>
      <w:r>
        <w:rPr>
          <w:rFonts w:ascii="Times New Roman" w:eastAsia="Times New Roman" w:hAnsi="Times New Roman" w:cs="Times New Roman"/>
          <w:sz w:val="20"/>
          <w:szCs w:val="20"/>
        </w:rPr>
        <w:t>e não existe uma forma específica de intervenção que atenda a todos os disléxicos, pois cada disléxico pode apresentar dificuldades variadas,  espera-se um bom desenvolvimento da escrita, leitura e coordenação motora da criança, para isso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apoio da famíli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será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fundamental, uma vez que este pode ser positivo ou negativo para o aluno, a família deverá ter consciência de que os disléxicos são capazes de aprender e só necessitam de um tempo maior. </w:t>
      </w:r>
    </w:p>
    <w:p w14:paraId="7D6611A2" w14:textId="20D71514" w:rsidR="00FC3751" w:rsidRDefault="00EF3F78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 terminar é importante ressaltar que no trabalho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vai ser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apresentado </w:t>
      </w:r>
      <w:r>
        <w:rPr>
          <w:rFonts w:ascii="Times New Roman" w:eastAsia="Times New Roman" w:hAnsi="Times New Roman" w:cs="Times New Roman"/>
          <w:sz w:val="20"/>
          <w:szCs w:val="20"/>
        </w:rPr>
        <w:t>questões importantes para muitos professores e futuros professores de uma criança com dislexia,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que em sua maioria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não compreendem ou nem conhecem este distúrbio de aprendizagem, pois os estudos a </w:t>
      </w:r>
      <w:r>
        <w:rPr>
          <w:rFonts w:ascii="Times New Roman" w:eastAsia="Times New Roman" w:hAnsi="Times New Roman" w:cs="Times New Roman"/>
          <w:sz w:val="20"/>
          <w:szCs w:val="20"/>
        </w:rPr>
        <w:t>serem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realizados acerca desse tema ainda são 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ucos no Brasil.  Assim, espera-se também que este trabalho possa auxiliar </w:t>
      </w:r>
      <w:r>
        <w:rPr>
          <w:rFonts w:ascii="Times New Roman" w:eastAsia="Times New Roman" w:hAnsi="Times New Roman" w:cs="Times New Roman"/>
          <w:sz w:val="20"/>
          <w:szCs w:val="20"/>
        </w:rPr>
        <w:t>novos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pesquisadores que buscam mais informações a respeito da dislexia.</w:t>
      </w:r>
    </w:p>
    <w:p w14:paraId="765070A9" w14:textId="77777777" w:rsidR="00CE66D7" w:rsidRDefault="00CE66D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BF7ED8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0071FC37" w14:textId="77777777" w:rsidR="00FC3751" w:rsidRDefault="00EF3F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ASSOCIAÇÃO BRASILEIRA DE DISLEXIA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é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dislexia?,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2016. Disponível em: </w:t>
      </w:r>
      <w:hyperlink r:id="rId1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https://www.dislexia.org.br/o-que-e-dislexia/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Acesso em: 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set. de 20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FE571FE" w14:textId="77777777" w:rsidR="00FC3751" w:rsidRDefault="00EF3F78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CIASCA M. S; RODRIGUES D. S. Dislexia na escola: Identificação e Possibilidade de Intervenção.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Psicopedagogia: Revista da Associação Brasileira de Psicopedagogia.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Campinas, 2016, Vol. 33, Ed. 100.</w:t>
      </w:r>
    </w:p>
    <w:p w14:paraId="1052F6F8" w14:textId="77777777" w:rsidR="00FC3751" w:rsidRDefault="00EF3F78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LÜDKE, M.; ANDRÉ, M. E. D. 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Pesquisa em educação: abordag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ens qualitativas.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Paulo, SP: Editora Pedagógica e Universitária, 1986.</w:t>
      </w:r>
    </w:p>
    <w:p w14:paraId="59D930F7" w14:textId="77777777" w:rsidR="00FC3751" w:rsidRDefault="00FC3751">
      <w:pPr>
        <w:spacing w:before="240" w:after="24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</w:p>
    <w:p w14:paraId="7C386402" w14:textId="77777777" w:rsidR="00FC3751" w:rsidRDefault="00FC3751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619505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9E90B2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21D920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938002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A2AF55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2D2B37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DFC6ED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14:paraId="1ADF6C29" w14:textId="77777777" w:rsidR="00FC3751" w:rsidRDefault="00FC37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C3751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1A1F" w14:textId="77777777" w:rsidR="00EF3F78" w:rsidRDefault="00EF3F78">
      <w:r>
        <w:separator/>
      </w:r>
    </w:p>
  </w:endnote>
  <w:endnote w:type="continuationSeparator" w:id="0">
    <w:p w14:paraId="6C1A39A8" w14:textId="77777777" w:rsidR="00EF3F78" w:rsidRDefault="00E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9257" w14:textId="77777777" w:rsidR="00FC3751" w:rsidRDefault="00EF3F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DDDA94B" wp14:editId="6BB48D64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9E34" w14:textId="77777777" w:rsidR="00EF3F78" w:rsidRDefault="00EF3F78">
      <w:r>
        <w:separator/>
      </w:r>
    </w:p>
  </w:footnote>
  <w:footnote w:type="continuationSeparator" w:id="0">
    <w:p w14:paraId="2D0A2AB2" w14:textId="77777777" w:rsidR="00EF3F78" w:rsidRDefault="00EF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6CB5" w14:textId="77777777" w:rsidR="00FC3751" w:rsidRDefault="00FC37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35B154C" w14:textId="77777777" w:rsidR="00FC3751" w:rsidRDefault="00EF3F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506DEA" wp14:editId="2995AB69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51"/>
    <w:rsid w:val="00CE66D7"/>
    <w:rsid w:val="00EF3F78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1F84B5"/>
  <w15:docId w15:val="{9F09EBA8-1F93-FD4D-9FC2-A01D89AF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ice.serikaku@ifms.edu.br" TargetMode="External"/><Relationship Id="rId13" Type="http://schemas.openxmlformats.org/officeDocument/2006/relationships/hyperlink" Target="https://www.lecionas.com.br/blog/metodo-para-preparar-provas-para-estudantes-com-dislexi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biferreira13072003@gmail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islexia.org.br/o-que-e-dislexia/" TargetMode="External"/><Relationship Id="rId1" Type="http://schemas.openxmlformats.org/officeDocument/2006/relationships/styles" Target="styles.xml"/><Relationship Id="rId6" Type="http://schemas.openxmlformats.org/officeDocument/2006/relationships/hyperlink" Target="mailto:rayyfreitass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dislexia.org.br/o-que-e-dislexia/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riston.santos@ifms.edu.br" TargetMode="Externa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Helenice S</cp:lastModifiedBy>
  <cp:revision>2</cp:revision>
  <dcterms:created xsi:type="dcterms:W3CDTF">2021-09-08T03:24:00Z</dcterms:created>
  <dcterms:modified xsi:type="dcterms:W3CDTF">2021-09-08T03:29:00Z</dcterms:modified>
</cp:coreProperties>
</file>